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126F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z w:val="32"/>
          <w:szCs w:val="32"/>
          <w:lang w:val="en-US" w:eastAsia="zh-CN"/>
        </w:rPr>
      </w:pPr>
    </w:p>
    <w:p w14:paraId="7E2C67D3">
      <w:pPr>
        <w:pStyle w:val="6"/>
        <w:keepNext w:val="0"/>
        <w:keepLines w:val="0"/>
        <w:widowControl/>
        <w:suppressLineNumbers w:val="0"/>
        <w:shd w:val="clear" w:fill="FFFFFF"/>
        <w:spacing w:before="0" w:beforeAutospacing="0" w:after="150" w:afterAutospacing="0" w:line="675" w:lineRule="atLeast"/>
        <w:ind w:left="0" w:right="0" w:firstLine="0"/>
        <w:jc w:val="center"/>
        <w:textAlignment w:val="baseline"/>
        <w:rPr>
          <w:rFonts w:hint="default" w:ascii="仿宋_GB2312" w:hAnsi="仿宋_GB2312" w:eastAsia="仿宋_GB2312" w:cs="仿宋_GB2312"/>
          <w:i w:val="0"/>
          <w:caps w:val="0"/>
          <w:color w:val="000000"/>
          <w:spacing w:val="0"/>
          <w:sz w:val="52"/>
          <w:szCs w:val="52"/>
          <w:shd w:val="clear" w:fill="FFFFFF"/>
          <w:vertAlign w:val="baseline"/>
          <w:lang w:val="en-US" w:eastAsia="zh-CN"/>
        </w:rPr>
      </w:pPr>
      <w:r>
        <w:rPr>
          <w:rFonts w:hint="eastAsia" w:ascii="仿宋_GB2312" w:hAnsi="仿宋_GB2312" w:eastAsia="仿宋_GB2312" w:cs="仿宋_GB2312"/>
          <w:i w:val="0"/>
          <w:caps w:val="0"/>
          <w:color w:val="000000"/>
          <w:spacing w:val="0"/>
          <w:sz w:val="52"/>
          <w:szCs w:val="52"/>
          <w:shd w:val="clear" w:fill="FFFFFF"/>
          <w:vertAlign w:val="baseline"/>
          <w:lang w:val="en-US" w:eastAsia="zh-CN"/>
        </w:rPr>
        <w:t>丽水学院</w:t>
      </w:r>
    </w:p>
    <w:p w14:paraId="1835D4EB">
      <w:pPr>
        <w:pStyle w:val="6"/>
        <w:keepNext w:val="0"/>
        <w:keepLines w:val="0"/>
        <w:widowControl/>
        <w:suppressLineNumbers w:val="0"/>
        <w:shd w:val="clear" w:fill="FFFFFF"/>
        <w:spacing w:before="0" w:beforeAutospacing="0" w:after="150" w:afterAutospacing="0" w:line="675" w:lineRule="atLeast"/>
        <w:ind w:left="0" w:right="0" w:firstLine="0"/>
        <w:jc w:val="center"/>
        <w:textAlignment w:val="baseline"/>
        <w:rPr>
          <w:rFonts w:hint="default" w:asci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52"/>
          <w:szCs w:val="52"/>
          <w:shd w:val="clear" w:fill="FFFFFF"/>
          <w:vertAlign w:val="baseline"/>
          <w:lang w:val="en-US" w:eastAsia="zh-CN"/>
        </w:rPr>
        <w:t>2022年</w:t>
      </w:r>
      <w:r>
        <w:rPr>
          <w:rFonts w:hint="default" w:ascii="仿宋_GB2312" w:hAnsi="仿宋_GB2312" w:eastAsia="仿宋_GB2312" w:cs="仿宋_GB2312"/>
          <w:i w:val="0"/>
          <w:caps w:val="0"/>
          <w:color w:val="000000"/>
          <w:spacing w:val="0"/>
          <w:sz w:val="52"/>
          <w:szCs w:val="52"/>
          <w:shd w:val="clear" w:fill="FFFFFF"/>
          <w:vertAlign w:val="baseline"/>
        </w:rPr>
        <w:t>学位授权点建设年度报告</w:t>
      </w:r>
    </w:p>
    <w:tbl>
      <w:tblPr>
        <w:tblStyle w:val="7"/>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24AF05E5">
        <w:trPr>
          <w:trHeight w:val="795" w:hRule="atLeast"/>
          <w:jc w:val="center"/>
        </w:trPr>
        <w:tc>
          <w:tcPr>
            <w:tcW w:w="2190" w:type="dxa"/>
            <w:vMerge w:val="restart"/>
            <w:tcBorders>
              <w:tl2br w:val="nil"/>
              <w:tr2bl w:val="nil"/>
            </w:tcBorders>
            <w:shd w:val="clear" w:color="auto" w:fill="auto"/>
            <w:vAlign w:val="center"/>
          </w:tcPr>
          <w:p w14:paraId="3210B34A">
            <w:pPr>
              <w:pStyle w:val="6"/>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9"/>
                <w:rFonts w:hint="default" w:ascii="仿宋_GB2312" w:hAnsi="仿宋_GB2312" w:eastAsia="仿宋_GB2312" w:cs="仿宋_GB2312"/>
                <w:b/>
                <w:spacing w:val="-15"/>
                <w:sz w:val="28"/>
                <w:szCs w:val="28"/>
                <w:vertAlign w:val="baseline"/>
              </w:rPr>
              <w:t>学院（公章）</w:t>
            </w:r>
          </w:p>
        </w:tc>
        <w:tc>
          <w:tcPr>
            <w:tcW w:w="3975" w:type="dxa"/>
            <w:tcBorders>
              <w:tl2br w:val="nil"/>
              <w:tr2bl w:val="nil"/>
            </w:tcBorders>
            <w:shd w:val="clear" w:color="auto" w:fill="auto"/>
            <w:vAlign w:val="center"/>
          </w:tcPr>
          <w:p w14:paraId="62787F8B">
            <w:pPr>
              <w:pStyle w:val="6"/>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9"/>
                <w:rFonts w:hint="default" w:ascii="仿宋_GB2312" w:hAnsi="仿宋_GB2312" w:eastAsia="仿宋_GB2312" w:cs="仿宋_GB2312"/>
                <w:b/>
                <w:spacing w:val="-15"/>
                <w:sz w:val="28"/>
                <w:szCs w:val="28"/>
                <w:vertAlign w:val="baseline"/>
              </w:rPr>
              <w:t>名称：</w:t>
            </w:r>
            <w:r>
              <w:rPr>
                <w:rFonts w:hint="eastAsia" w:ascii="仿宋_GB2312" w:hAnsi="仿宋_GB2312" w:eastAsia="仿宋_GB2312" w:cs="仿宋_GB2312"/>
                <w:sz w:val="28"/>
                <w:szCs w:val="28"/>
              </w:rPr>
              <w:t>教师教育学院</w:t>
            </w:r>
          </w:p>
        </w:tc>
      </w:tr>
      <w:tr w14:paraId="15DA6BF6">
        <w:trPr>
          <w:trHeight w:val="795" w:hRule="atLeast"/>
          <w:jc w:val="center"/>
        </w:trPr>
        <w:tc>
          <w:tcPr>
            <w:tcW w:w="2190" w:type="dxa"/>
            <w:vMerge w:val="continue"/>
            <w:tcBorders>
              <w:tl2br w:val="nil"/>
              <w:tr2bl w:val="nil"/>
            </w:tcBorders>
            <w:shd w:val="clear" w:color="auto" w:fill="auto"/>
            <w:vAlign w:val="center"/>
          </w:tcPr>
          <w:p w14:paraId="0AEF83C7">
            <w:pPr>
              <w:rPr>
                <w:rFonts w:hint="eastAsia" w:ascii="宋体"/>
                <w:sz w:val="24"/>
                <w:szCs w:val="24"/>
              </w:rPr>
            </w:pPr>
          </w:p>
        </w:tc>
        <w:tc>
          <w:tcPr>
            <w:tcW w:w="3975" w:type="dxa"/>
            <w:tcBorders>
              <w:tl2br w:val="nil"/>
              <w:tr2bl w:val="nil"/>
            </w:tcBorders>
            <w:shd w:val="clear" w:color="auto" w:fill="auto"/>
            <w:vAlign w:val="center"/>
          </w:tcPr>
          <w:p w14:paraId="7A243C58">
            <w:pPr>
              <w:pStyle w:val="6"/>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9"/>
                <w:rFonts w:hint="default" w:ascii="仿宋_GB2312" w:hAnsi="仿宋_GB2312" w:eastAsia="仿宋_GB2312" w:cs="仿宋_GB2312"/>
                <w:b/>
                <w:spacing w:val="-15"/>
                <w:sz w:val="28"/>
                <w:szCs w:val="28"/>
                <w:vertAlign w:val="baseline"/>
              </w:rPr>
              <w:t>院长（签字）：</w:t>
            </w:r>
          </w:p>
        </w:tc>
      </w:tr>
    </w:tbl>
    <w:p w14:paraId="5558ABDF">
      <w:pPr>
        <w:rPr>
          <w:vanish/>
          <w:sz w:val="24"/>
          <w:szCs w:val="24"/>
        </w:rPr>
      </w:pPr>
    </w:p>
    <w:tbl>
      <w:tblPr>
        <w:tblStyle w:val="7"/>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433C9104">
        <w:trPr>
          <w:trHeight w:val="795" w:hRule="atLeast"/>
          <w:jc w:val="center"/>
        </w:trPr>
        <w:tc>
          <w:tcPr>
            <w:tcW w:w="2190" w:type="dxa"/>
            <w:vMerge w:val="restart"/>
            <w:tcBorders>
              <w:tl2br w:val="nil"/>
              <w:tr2bl w:val="nil"/>
            </w:tcBorders>
            <w:shd w:val="clear" w:color="auto" w:fill="auto"/>
            <w:vAlign w:val="center"/>
          </w:tcPr>
          <w:p w14:paraId="12CC5DD0">
            <w:pPr>
              <w:pStyle w:val="6"/>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9"/>
                <w:rFonts w:hint="default" w:ascii="仿宋_GB2312" w:hAnsi="仿宋_GB2312" w:eastAsia="仿宋_GB2312" w:cs="仿宋_GB2312"/>
                <w:b/>
                <w:spacing w:val="-15"/>
                <w:sz w:val="28"/>
                <w:szCs w:val="28"/>
                <w:vertAlign w:val="baseline"/>
              </w:rPr>
              <w:t>学位授权点</w:t>
            </w:r>
          </w:p>
        </w:tc>
        <w:tc>
          <w:tcPr>
            <w:tcW w:w="3975" w:type="dxa"/>
            <w:tcBorders>
              <w:tl2br w:val="nil"/>
              <w:tr2bl w:val="nil"/>
            </w:tcBorders>
            <w:shd w:val="clear" w:color="auto" w:fill="auto"/>
            <w:vAlign w:val="center"/>
          </w:tcPr>
          <w:p w14:paraId="48A10F6D">
            <w:pPr>
              <w:pStyle w:val="6"/>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lang w:val="en-US" w:eastAsia="zh-CN"/>
              </w:rPr>
            </w:pPr>
            <w:r>
              <w:rPr>
                <w:rStyle w:val="9"/>
                <w:rFonts w:hint="default" w:ascii="仿宋_GB2312" w:hAnsi="仿宋_GB2312" w:eastAsia="仿宋_GB2312" w:cs="仿宋_GB2312"/>
                <w:b/>
                <w:spacing w:val="-15"/>
                <w:sz w:val="28"/>
                <w:szCs w:val="28"/>
                <w:vertAlign w:val="baseline"/>
              </w:rPr>
              <w:t>名称：</w:t>
            </w:r>
            <w:r>
              <w:rPr>
                <w:rStyle w:val="9"/>
                <w:rFonts w:hint="eastAsia" w:ascii="仿宋_GB2312" w:hAnsi="仿宋_GB2312" w:eastAsia="仿宋_GB2312" w:cs="仿宋_GB2312"/>
                <w:b/>
                <w:spacing w:val="-15"/>
                <w:sz w:val="28"/>
                <w:szCs w:val="28"/>
                <w:vertAlign w:val="baseline"/>
                <w:lang w:val="en-US" w:eastAsia="zh-CN"/>
              </w:rPr>
              <w:t>教育硕士</w:t>
            </w:r>
          </w:p>
        </w:tc>
      </w:tr>
      <w:tr w14:paraId="39DE2DE3">
        <w:trPr>
          <w:trHeight w:val="795" w:hRule="atLeast"/>
          <w:jc w:val="center"/>
        </w:trPr>
        <w:tc>
          <w:tcPr>
            <w:tcW w:w="2190" w:type="dxa"/>
            <w:vMerge w:val="continue"/>
            <w:tcBorders>
              <w:tl2br w:val="nil"/>
              <w:tr2bl w:val="nil"/>
            </w:tcBorders>
            <w:shd w:val="clear" w:color="auto" w:fill="auto"/>
            <w:vAlign w:val="center"/>
          </w:tcPr>
          <w:p w14:paraId="1AD97B58">
            <w:pPr>
              <w:rPr>
                <w:rFonts w:hint="eastAsia" w:ascii="宋体"/>
                <w:sz w:val="24"/>
                <w:szCs w:val="24"/>
              </w:rPr>
            </w:pPr>
          </w:p>
        </w:tc>
        <w:tc>
          <w:tcPr>
            <w:tcW w:w="3975" w:type="dxa"/>
            <w:tcBorders>
              <w:tl2br w:val="nil"/>
              <w:tr2bl w:val="nil"/>
            </w:tcBorders>
            <w:shd w:val="clear" w:color="auto" w:fill="auto"/>
            <w:vAlign w:val="center"/>
          </w:tcPr>
          <w:p w14:paraId="32099EBC">
            <w:pPr>
              <w:pStyle w:val="6"/>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lang w:val="en-US" w:eastAsia="zh-CN"/>
              </w:rPr>
            </w:pPr>
            <w:r>
              <w:rPr>
                <w:rStyle w:val="9"/>
                <w:rFonts w:hint="default" w:ascii="仿宋_GB2312" w:hAnsi="仿宋_GB2312" w:eastAsia="仿宋_GB2312" w:cs="仿宋_GB2312"/>
                <w:b/>
                <w:spacing w:val="-15"/>
                <w:sz w:val="28"/>
                <w:szCs w:val="28"/>
                <w:vertAlign w:val="baseline"/>
              </w:rPr>
              <w:t>代码：</w:t>
            </w:r>
            <w:r>
              <w:rPr>
                <w:rStyle w:val="9"/>
                <w:rFonts w:hint="eastAsia" w:ascii="仿宋_GB2312" w:hAnsi="仿宋_GB2312" w:eastAsia="仿宋_GB2312" w:cs="仿宋_GB2312"/>
                <w:b/>
                <w:spacing w:val="-15"/>
                <w:sz w:val="28"/>
                <w:szCs w:val="28"/>
                <w:vertAlign w:val="baseline"/>
                <w:lang w:val="en-US" w:eastAsia="zh-CN"/>
              </w:rPr>
              <w:t>0451</w:t>
            </w:r>
          </w:p>
        </w:tc>
      </w:tr>
    </w:tbl>
    <w:p w14:paraId="013B691D">
      <w:pPr>
        <w:rPr>
          <w:vanish/>
          <w:sz w:val="24"/>
          <w:szCs w:val="24"/>
        </w:rPr>
      </w:pPr>
    </w:p>
    <w:tbl>
      <w:tblPr>
        <w:tblStyle w:val="7"/>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4790DE09">
        <w:trPr>
          <w:trHeight w:val="795" w:hRule="atLeast"/>
          <w:jc w:val="center"/>
        </w:trPr>
        <w:tc>
          <w:tcPr>
            <w:tcW w:w="2190" w:type="dxa"/>
            <w:vMerge w:val="restart"/>
            <w:tcBorders>
              <w:tl2br w:val="nil"/>
              <w:tr2bl w:val="nil"/>
            </w:tcBorders>
            <w:shd w:val="clear" w:color="auto" w:fill="auto"/>
            <w:vAlign w:val="center"/>
          </w:tcPr>
          <w:p w14:paraId="71FE610D">
            <w:pPr>
              <w:pStyle w:val="6"/>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9"/>
                <w:rFonts w:hint="default" w:ascii="仿宋_GB2312" w:hAnsi="仿宋_GB2312" w:eastAsia="仿宋_GB2312" w:cs="仿宋_GB2312"/>
                <w:b/>
                <w:spacing w:val="-15"/>
                <w:sz w:val="28"/>
                <w:szCs w:val="28"/>
                <w:vertAlign w:val="baseline"/>
              </w:rPr>
              <w:t>授权级别</w:t>
            </w:r>
          </w:p>
        </w:tc>
        <w:tc>
          <w:tcPr>
            <w:tcW w:w="3975" w:type="dxa"/>
            <w:tcBorders>
              <w:tl2br w:val="nil"/>
              <w:tr2bl w:val="nil"/>
            </w:tcBorders>
            <w:shd w:val="clear" w:color="auto" w:fill="auto"/>
            <w:vAlign w:val="center"/>
          </w:tcPr>
          <w:p w14:paraId="0BFD5CB8">
            <w:pPr>
              <w:pStyle w:val="6"/>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9"/>
                <w:rFonts w:hint="default" w:ascii="仿宋_GB2312" w:hAnsi="仿宋_GB2312" w:eastAsia="仿宋_GB2312" w:cs="仿宋_GB2312"/>
                <w:b/>
                <w:spacing w:val="-15"/>
                <w:sz w:val="28"/>
                <w:szCs w:val="28"/>
                <w:vertAlign w:val="baseline"/>
              </w:rPr>
              <w:t>博士</w:t>
            </w:r>
          </w:p>
        </w:tc>
      </w:tr>
      <w:tr w14:paraId="2F2E2654">
        <w:trPr>
          <w:trHeight w:val="795" w:hRule="atLeast"/>
          <w:jc w:val="center"/>
        </w:trPr>
        <w:tc>
          <w:tcPr>
            <w:tcW w:w="2190" w:type="dxa"/>
            <w:vMerge w:val="continue"/>
            <w:tcBorders>
              <w:tl2br w:val="nil"/>
              <w:tr2bl w:val="nil"/>
            </w:tcBorders>
            <w:shd w:val="clear" w:color="auto" w:fill="auto"/>
            <w:vAlign w:val="center"/>
          </w:tcPr>
          <w:p w14:paraId="255D8122">
            <w:pPr>
              <w:rPr>
                <w:rFonts w:hint="eastAsia" w:ascii="宋体"/>
                <w:sz w:val="24"/>
                <w:szCs w:val="24"/>
              </w:rPr>
            </w:pPr>
          </w:p>
        </w:tc>
        <w:tc>
          <w:tcPr>
            <w:tcW w:w="3975" w:type="dxa"/>
            <w:tcBorders>
              <w:tl2br w:val="nil"/>
              <w:tr2bl w:val="nil"/>
            </w:tcBorders>
            <w:shd w:val="clear" w:color="auto" w:fill="auto"/>
            <w:vAlign w:val="center"/>
          </w:tcPr>
          <w:p w14:paraId="496002F9">
            <w:pPr>
              <w:pStyle w:val="6"/>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9"/>
                <w:rFonts w:hint="default" w:ascii="仿宋_GB2312" w:hAnsi="仿宋_GB2312" w:eastAsia="仿宋_GB2312" w:cs="仿宋_GB2312"/>
                <w:b/>
                <w:spacing w:val="-15"/>
                <w:sz w:val="28"/>
                <w:szCs w:val="28"/>
                <w:vertAlign w:val="baseline"/>
              </w:rPr>
              <w:t>硕士</w:t>
            </w:r>
            <w:r>
              <w:rPr>
                <w:rStyle w:val="9"/>
                <w:rFonts w:hint="default" w:ascii="仿宋_GB2312" w:hAnsi="Wingdings 2" w:eastAsia="仿宋_GB2312" w:cs="仿宋_GB2312"/>
                <w:b/>
                <w:spacing w:val="-15"/>
                <w:sz w:val="28"/>
                <w:szCs w:val="28"/>
                <w:vertAlign w:val="baseline"/>
              </w:rPr>
              <w:t>√</w:t>
            </w:r>
          </w:p>
        </w:tc>
      </w:tr>
    </w:tbl>
    <w:p w14:paraId="1972C3C1">
      <w:pPr>
        <w:pStyle w:val="6"/>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pPr>
      <w:r>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w:t>
      </w:r>
    </w:p>
    <w:p w14:paraId="3DCA4979">
      <w:pPr>
        <w:pStyle w:val="6"/>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AA8C997">
      <w:pPr>
        <w:pStyle w:val="6"/>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47CF3258">
      <w:pPr>
        <w:pStyle w:val="6"/>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16058D0">
      <w:pPr>
        <w:pStyle w:val="6"/>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790B2EB">
      <w:pPr>
        <w:pStyle w:val="6"/>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BD66B54">
      <w:pPr>
        <w:pStyle w:val="6"/>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9"/>
          <w:rFonts w:hint="default" w:ascii="仿宋_GB2312" w:hAnsi="仿宋_GB2312" w:eastAsia="仿宋_GB2312" w:cs="仿宋_GB2312"/>
          <w:b/>
          <w:i w:val="0"/>
          <w:caps w:val="0"/>
          <w:color w:val="000000"/>
          <w:spacing w:val="-15"/>
          <w:sz w:val="31"/>
          <w:szCs w:val="31"/>
          <w:shd w:val="clear" w:fill="FFFFFF"/>
          <w:vertAlign w:val="baseline"/>
        </w:rPr>
      </w:pPr>
      <w:r>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2022</w:t>
      </w:r>
      <w:r>
        <w:rPr>
          <w:rStyle w:val="9"/>
          <w:rFonts w:hint="default" w:ascii="仿宋_GB2312" w:hAnsi="仿宋_GB2312" w:eastAsia="仿宋_GB2312" w:cs="仿宋_GB2312"/>
          <w:b/>
          <w:i w:val="0"/>
          <w:caps w:val="0"/>
          <w:color w:val="000000"/>
          <w:spacing w:val="-15"/>
          <w:sz w:val="31"/>
          <w:szCs w:val="31"/>
          <w:shd w:val="clear" w:fill="FFFFFF"/>
          <w:vertAlign w:val="baseline"/>
        </w:rPr>
        <w:t>年</w:t>
      </w:r>
      <w:r>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12</w:t>
      </w:r>
      <w:r>
        <w:rPr>
          <w:rStyle w:val="9"/>
          <w:rFonts w:hint="default" w:ascii="仿宋_GB2312" w:hAnsi="仿宋_GB2312" w:eastAsia="仿宋_GB2312" w:cs="仿宋_GB2312"/>
          <w:b/>
          <w:i w:val="0"/>
          <w:caps w:val="0"/>
          <w:color w:val="000000"/>
          <w:spacing w:val="-15"/>
          <w:sz w:val="31"/>
          <w:szCs w:val="31"/>
          <w:shd w:val="clear" w:fill="FFFFFF"/>
          <w:vertAlign w:val="baseline"/>
        </w:rPr>
        <w:t>月</w:t>
      </w:r>
      <w:r>
        <w:rPr>
          <w:rStyle w:val="9"/>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30 </w:t>
      </w:r>
      <w:r>
        <w:rPr>
          <w:rStyle w:val="9"/>
          <w:rFonts w:hint="default" w:ascii="仿宋_GB2312" w:hAnsi="仿宋_GB2312" w:eastAsia="仿宋_GB2312" w:cs="仿宋_GB2312"/>
          <w:b/>
          <w:i w:val="0"/>
          <w:caps w:val="0"/>
          <w:color w:val="000000"/>
          <w:spacing w:val="-15"/>
          <w:sz w:val="31"/>
          <w:szCs w:val="31"/>
          <w:shd w:val="clear" w:fill="FFFFFF"/>
          <w:vertAlign w:val="baseline"/>
        </w:rPr>
        <w:t>日</w:t>
      </w:r>
    </w:p>
    <w:p w14:paraId="702BEA53">
      <w:pPr>
        <w:rPr>
          <w:rStyle w:val="9"/>
          <w:rFonts w:hint="default" w:ascii="仿宋_GB2312" w:hAnsi="仿宋_GB2312" w:eastAsia="仿宋_GB2312" w:cs="仿宋_GB2312"/>
          <w:b/>
          <w:i w:val="0"/>
          <w:caps w:val="0"/>
          <w:color w:val="000000"/>
          <w:spacing w:val="-15"/>
          <w:sz w:val="31"/>
          <w:szCs w:val="31"/>
          <w:shd w:val="clear" w:fill="FFFFFF"/>
          <w:vertAlign w:val="baseline"/>
        </w:rPr>
      </w:pPr>
      <w:r>
        <w:rPr>
          <w:rStyle w:val="9"/>
          <w:rFonts w:hint="default" w:ascii="仿宋_GB2312" w:hAnsi="仿宋_GB2312" w:eastAsia="仿宋_GB2312" w:cs="仿宋_GB2312"/>
          <w:b/>
          <w:i w:val="0"/>
          <w:caps w:val="0"/>
          <w:color w:val="000000"/>
          <w:spacing w:val="-15"/>
          <w:sz w:val="31"/>
          <w:szCs w:val="31"/>
          <w:shd w:val="clear" w:fill="FFFFFF"/>
          <w:vertAlign w:val="baseline"/>
        </w:rPr>
        <w:br w:type="page"/>
      </w:r>
    </w:p>
    <w:p w14:paraId="0064BC65">
      <w:pPr>
        <w:pStyle w:val="6"/>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9"/>
          <w:rFonts w:hint="default" w:ascii="仿宋_GB2312" w:hAnsi="仿宋_GB2312" w:eastAsia="仿宋_GB2312" w:cs="仿宋_GB2312"/>
          <w:b/>
          <w:i w:val="0"/>
          <w:caps w:val="0"/>
          <w:color w:val="000000"/>
          <w:spacing w:val="-15"/>
          <w:sz w:val="31"/>
          <w:szCs w:val="31"/>
          <w:shd w:val="clear" w:fill="FFFFFF"/>
          <w:vertAlign w:val="baseline"/>
        </w:rPr>
      </w:pPr>
    </w:p>
    <w:sdt>
      <w:sdtPr>
        <w:rPr>
          <w:rFonts w:hint="eastAsia" w:ascii="仿宋_GB2312" w:hAnsi="仿宋_GB2312" w:eastAsia="仿宋_GB2312" w:cs="仿宋_GB2312"/>
          <w:b/>
          <w:bCs/>
          <w:kern w:val="2"/>
          <w:sz w:val="21"/>
          <w:szCs w:val="24"/>
          <w:lang w:val="en-US" w:eastAsia="zh-CN" w:bidi="ar-SA"/>
        </w:rPr>
        <w:id w:val="644493744"/>
        <w15:color w:val="DBDBDB"/>
        <w:docPartObj>
          <w:docPartGallery w:val="Table of Contents"/>
          <w:docPartUnique/>
        </w:docPartObj>
      </w:sdtPr>
      <w:sdtEndPr>
        <w:rPr>
          <w:rFonts w:hint="eastAsia" w:ascii="仿宋_GB2312" w:hAnsi="Calibri" w:eastAsia="仿宋_GB2312" w:cs="仿宋_GB2312"/>
          <w:b/>
          <w:bCs/>
          <w:kern w:val="0"/>
          <w:sz w:val="24"/>
          <w:szCs w:val="28"/>
          <w:lang w:val="en-US" w:eastAsia="zh-CN" w:bidi="ar"/>
        </w:rPr>
      </w:sdtEndPr>
      <w:sdtContent>
        <w:p w14:paraId="51BB6842">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目</w:t>
          </w:r>
          <w:r>
            <w:rPr>
              <w:rFonts w:hint="eastAsia" w:ascii="仿宋_GB2312" w:hAnsi="仿宋_GB2312" w:eastAsia="仿宋_GB2312" w:cs="仿宋_GB2312"/>
              <w:b/>
              <w:bCs/>
              <w:sz w:val="32"/>
              <w:szCs w:val="40"/>
              <w:lang w:val="en-US" w:eastAsia="zh-CN"/>
            </w:rPr>
            <w:t xml:space="preserve">  </w:t>
          </w:r>
          <w:r>
            <w:rPr>
              <w:rFonts w:hint="eastAsia" w:ascii="仿宋_GB2312" w:hAnsi="仿宋_GB2312" w:eastAsia="仿宋_GB2312" w:cs="仿宋_GB2312"/>
              <w:b/>
              <w:bCs/>
              <w:sz w:val="32"/>
              <w:szCs w:val="40"/>
            </w:rPr>
            <w:t>录</w:t>
          </w:r>
        </w:p>
        <w:p w14:paraId="7CF68699">
          <w:pPr>
            <w:pStyle w:val="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"1-3" \h \u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_Toc480410475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一、学位授权点简介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_Toc480410475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A66DD7D">
          <w:pPr>
            <w:pStyle w:val="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_Toc1867824252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二、学科方向与特色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_Toc1867824252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418272A">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_Toc606251518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(一) 学科方向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_Toc606251518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8627C87">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_Toc1606841658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(二) 学科特色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_Toc1606841658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01C754D">
          <w:pPr>
            <w:pStyle w:val="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_Toc1580884981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lang w:val="en-US" w:eastAsia="zh-CN"/>
            </w:rPr>
            <w:t>三</w:t>
          </w:r>
          <w:r>
            <w:rPr>
              <w:rFonts w:hint="eastAsia" w:ascii="仿宋_GB2312" w:hAnsi="仿宋_GB2312" w:eastAsia="仿宋_GB2312" w:cs="仿宋_GB2312"/>
              <w:i w:val="0"/>
              <w:caps w:val="0"/>
              <w:spacing w:val="0"/>
              <w:sz w:val="28"/>
              <w:szCs w:val="28"/>
              <w:shd w:val="clear" w:fill="FFFFFF"/>
            </w:rPr>
            <w:t>、培养环境与条件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_Toc1580884981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9894FAC">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_Toc1266194983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（一）研究生培养体系建设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_Toc1266194983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A4286D6">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_Toc1523621158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（二）导师队伍建设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_Toc1523621158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F2E9CFD">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_Toc905795678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（三）招生与培养管理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_Toc905795678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9815E51">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_Toc196386563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（四）实践基地与教学平台建设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_Toc196386563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D354B2E">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_Toc2134082549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（五）学术活动与科研支撑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_Toc2134082549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E1B9EE8">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_Toc253528849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（六）学生培养与学风建设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_Toc253528849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2B73E19">
          <w:pPr>
            <w:pStyle w:val="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_Toc451809495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lang w:val="en-US" w:eastAsia="zh-CN"/>
            </w:rPr>
            <w:t>四</w:t>
          </w:r>
          <w:r>
            <w:rPr>
              <w:rFonts w:hint="eastAsia" w:ascii="仿宋_GB2312" w:hAnsi="仿宋_GB2312" w:eastAsia="仿宋_GB2312" w:cs="仿宋_GB2312"/>
              <w:i w:val="0"/>
              <w:caps w:val="0"/>
              <w:spacing w:val="0"/>
              <w:sz w:val="28"/>
              <w:szCs w:val="28"/>
              <w:shd w:val="clear" w:fill="FFFFFF"/>
            </w:rPr>
            <w:t>、社会服务与社会影响力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_Toc451809495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35A74BD">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_Toc60006673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（一）</w:t>
          </w:r>
          <w:r>
            <w:rPr>
              <w:rFonts w:hint="default" w:ascii="仿宋_GB2312" w:eastAsia="仿宋_GB2312" w:cs="仿宋_GB2312"/>
              <w:i w:val="0"/>
              <w:caps w:val="0"/>
              <w:color w:val="000000"/>
              <w:spacing w:val="0"/>
              <w:sz w:val="28"/>
              <w:szCs w:val="28"/>
              <w:u w:val="none"/>
              <w:shd w:val="clear" w:fill="FFFFFF"/>
            </w:rPr>
            <w:t>附属学校共建与教育硕士实践融合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_Toc60006673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383D940">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_Toc1362322668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rPr>
            <w:t>（二）</w:t>
          </w:r>
          <w:r>
            <w:rPr>
              <w:rFonts w:hint="default" w:ascii="仿宋_GB2312" w:eastAsia="仿宋_GB2312" w:cs="仿宋_GB2312"/>
              <w:i w:val="0"/>
              <w:caps w:val="0"/>
              <w:color w:val="000000"/>
              <w:spacing w:val="0"/>
              <w:sz w:val="28"/>
              <w:szCs w:val="28"/>
              <w:u w:val="none"/>
              <w:shd w:val="clear" w:fill="FFFFFF"/>
            </w:rPr>
            <w:t>教育服务与研究生社会实践并进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_Toc1362322668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BF5EE89">
          <w:pPr>
            <w:pStyle w:val="4"/>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_Toc86436762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lang w:val="en-US" w:eastAsia="zh-CN"/>
            </w:rPr>
            <w:t>五</w:t>
          </w:r>
          <w:r>
            <w:rPr>
              <w:rFonts w:hint="eastAsia" w:ascii="仿宋_GB2312" w:hAnsi="仿宋_GB2312" w:eastAsia="仿宋_GB2312" w:cs="仿宋_GB2312"/>
              <w:i w:val="0"/>
              <w:caps w:val="0"/>
              <w:spacing w:val="0"/>
              <w:sz w:val="28"/>
              <w:szCs w:val="28"/>
              <w:shd w:val="clear" w:fill="FFFFFF"/>
            </w:rPr>
            <w:t>、</w:t>
          </w:r>
          <w:r>
            <w:rPr>
              <w:rFonts w:hint="eastAsia" w:ascii="仿宋_GB2312" w:hAnsi="仿宋_GB2312" w:eastAsia="仿宋_GB2312" w:cs="仿宋_GB2312"/>
              <w:i w:val="0"/>
              <w:caps w:val="0"/>
              <w:spacing w:val="0"/>
              <w:sz w:val="28"/>
              <w:szCs w:val="28"/>
              <w:shd w:val="clear" w:fill="FFFFFF"/>
              <w:lang w:val="en-US" w:eastAsia="zh-CN"/>
            </w:rPr>
            <w:t>其他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_Toc86436762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F9E534B">
          <w:pPr>
            <w:pStyle w:val="4"/>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_Toc1043713562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i w:val="0"/>
              <w:caps w:val="0"/>
              <w:spacing w:val="0"/>
              <w:sz w:val="28"/>
              <w:szCs w:val="28"/>
              <w:shd w:val="clear" w:fill="FFFFFF"/>
              <w:lang w:val="en-US" w:eastAsia="zh-CN"/>
            </w:rPr>
            <w:t>六</w:t>
          </w:r>
          <w:r>
            <w:rPr>
              <w:rFonts w:hint="eastAsia" w:ascii="仿宋_GB2312" w:hAnsi="仿宋_GB2312" w:eastAsia="仿宋_GB2312" w:cs="仿宋_GB2312"/>
              <w:i w:val="0"/>
              <w:caps w:val="0"/>
              <w:spacing w:val="0"/>
              <w:sz w:val="28"/>
              <w:szCs w:val="28"/>
              <w:shd w:val="clear" w:fill="FFFFFF"/>
            </w:rPr>
            <w:t>、存在的问题及改进措施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_Toc1043713562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99A308D">
          <w:pPr>
            <w:pStyle w:val="6"/>
            <w:keepNext w:val="0"/>
            <w:keepLines w:val="0"/>
            <w:widowControl/>
            <w:suppressLineNumbers w:val="0"/>
            <w:spacing w:before="316" w:beforeAutospacing="0" w:after="316" w:afterAutospacing="0" w:line="555" w:lineRule="atLeast"/>
            <w:ind w:left="0" w:right="0"/>
            <w:jc w:val="left"/>
            <w:textAlignment w:val="baseline"/>
            <w:rPr>
              <w:rFonts w:ascii="仿宋_GB2312" w:hAnsi="Calibri" w:eastAsia="仿宋_GB2312" w:cs="仿宋_GB2312"/>
              <w:kern w:val="0"/>
              <w:sz w:val="24"/>
              <w:szCs w:val="28"/>
              <w:lang w:val="en-US" w:eastAsia="zh-CN" w:bidi="ar"/>
            </w:rPr>
          </w:pPr>
          <w:r>
            <w:rPr>
              <w:rFonts w:hint="eastAsia" w:ascii="仿宋_GB2312" w:hAnsi="仿宋_GB2312" w:eastAsia="仿宋_GB2312" w:cs="仿宋_GB2312"/>
              <w:sz w:val="24"/>
              <w:szCs w:val="24"/>
            </w:rPr>
            <w:fldChar w:fldCharType="end"/>
          </w:r>
        </w:p>
      </w:sdtContent>
    </w:sdt>
    <w:p w14:paraId="7184BF16">
      <w:pPr>
        <w:pStyle w:val="6"/>
        <w:keepNext w:val="0"/>
        <w:keepLines w:val="0"/>
        <w:widowControl/>
        <w:suppressLineNumbers w:val="0"/>
        <w:spacing w:before="316" w:beforeAutospacing="0" w:after="316" w:afterAutospacing="0" w:line="555" w:lineRule="atLeast"/>
        <w:ind w:left="0" w:right="0"/>
        <w:jc w:val="left"/>
        <w:textAlignment w:val="baseline"/>
        <w:rPr>
          <w:rFonts w:ascii="仿宋_GB2312" w:hAnsi="Calibri" w:eastAsia="仿宋_GB2312" w:cs="仿宋_GB2312"/>
          <w:kern w:val="0"/>
          <w:sz w:val="24"/>
          <w:szCs w:val="28"/>
          <w:lang w:val="en-US" w:eastAsia="zh-CN" w:bidi="ar"/>
        </w:rPr>
      </w:pPr>
    </w:p>
    <w:p w14:paraId="7EEF4A98">
      <w:pPr>
        <w:rPr>
          <w:rFonts w:hint="default" w:ascii="仿宋_GB2312" w:eastAsia="仿宋_GB2312" w:cs="仿宋_GB2312"/>
          <w:i w:val="0"/>
          <w:caps w:val="0"/>
          <w:color w:val="000000"/>
          <w:spacing w:val="0"/>
          <w:sz w:val="28"/>
          <w:szCs w:val="28"/>
          <w:u w:val="none"/>
          <w:shd w:val="clear" w:fill="FFFFFF"/>
        </w:rPr>
      </w:pPr>
      <w:bookmarkStart w:id="0" w:name="_Toc480410475"/>
      <w:r>
        <w:rPr>
          <w:rFonts w:hint="default" w:ascii="仿宋_GB2312" w:eastAsia="仿宋_GB2312" w:cs="仿宋_GB2312"/>
          <w:i w:val="0"/>
          <w:caps w:val="0"/>
          <w:color w:val="000000"/>
          <w:spacing w:val="0"/>
          <w:sz w:val="28"/>
          <w:szCs w:val="28"/>
          <w:u w:val="none"/>
          <w:shd w:val="clear" w:fill="FFFFFF"/>
        </w:rPr>
        <w:br w:type="page"/>
      </w:r>
    </w:p>
    <w:p w14:paraId="6078FE10">
      <w:pPr>
        <w:pStyle w:val="6"/>
        <w:keepNext w:val="0"/>
        <w:keepLines w:val="0"/>
        <w:widowControl/>
        <w:suppressLineNumbers w:val="0"/>
        <w:spacing w:before="0" w:beforeAutospacing="0" w:after="150" w:afterAutospacing="0" w:line="450" w:lineRule="atLeast"/>
        <w:ind w:left="0" w:leftChars="0" w:right="0" w:rightChars="0"/>
        <w:outlineLvl w:val="0"/>
        <w:rPr>
          <w:rFonts w:hint="eastAsia" w:ascii="仿宋_GB2312" w:eastAsia="仿宋_GB2312" w:cs="仿宋_GB2312"/>
          <w:sz w:val="28"/>
          <w:szCs w:val="28"/>
          <w:lang w:eastAsia="zh-CN"/>
        </w:rPr>
      </w:pPr>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"_Toc128758611"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0"/>
          <w:rFonts w:ascii="黑体" w:hAnsi="宋体" w:eastAsia="黑体" w:cs="黑体"/>
          <w:i w:val="0"/>
          <w:caps w:val="0"/>
          <w:color w:val="000000"/>
          <w:spacing w:val="0"/>
          <w:sz w:val="28"/>
          <w:szCs w:val="28"/>
          <w:u w:val="single"/>
          <w:shd w:val="clear" w:fill="FFFFFF"/>
        </w:rPr>
        <w:t>一、</w:t>
      </w:r>
      <w:r>
        <w:rPr>
          <w:rStyle w:val="10"/>
          <w:rFonts w:hint="eastAsia" w:ascii="黑体" w:hAnsi="宋体" w:eastAsia="黑体" w:cs="黑体"/>
          <w:i w:val="0"/>
          <w:caps w:val="0"/>
          <w:color w:val="000000"/>
          <w:spacing w:val="0"/>
          <w:sz w:val="28"/>
          <w:szCs w:val="28"/>
          <w:u w:val="single"/>
          <w:shd w:val="clear" w:fill="FFFFFF"/>
        </w:rPr>
        <w:t>学位授权点简介</w:t>
      </w:r>
      <w:r>
        <w:rPr>
          <w:rFonts w:hint="default" w:ascii="仿宋_GB2312" w:eastAsia="仿宋_GB2312" w:cs="仿宋_GB2312"/>
          <w:i w:val="0"/>
          <w:caps w:val="0"/>
          <w:color w:val="000000"/>
          <w:spacing w:val="0"/>
          <w:sz w:val="28"/>
          <w:szCs w:val="28"/>
          <w:u w:val="none"/>
          <w:shd w:val="clear" w:fill="FFFFFF"/>
        </w:rPr>
        <w:fldChar w:fldCharType="end"/>
      </w:r>
      <w:bookmarkEnd w:id="0"/>
    </w:p>
    <w:p w14:paraId="799A0715">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2022年，教育硕士学位授权点建设工作以立德树人为根本任务，紧紧围绕学校“1355科研培育计划行动方案”和“一流教师教育学院建设实施方案”，全面推进教育硕士专业学位授权点的高质量建设。</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立足丽水地区教育实际，聚焦服务基础教育、教师专业成长和山区教育振兴的核心使命，在制度建设、课程体系优化、导师队伍建设、科研支撑与社会服务等方面均取得显著成效。</w:t>
      </w:r>
    </w:p>
    <w:p w14:paraId="6403A418">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本</w:t>
      </w:r>
      <w:r>
        <w:rPr>
          <w:rFonts w:hint="default" w:ascii="仿宋_GB2312" w:eastAsia="仿宋_GB2312" w:cs="仿宋_GB2312"/>
          <w:i w:val="0"/>
          <w:caps w:val="0"/>
          <w:color w:val="000000"/>
          <w:spacing w:val="0"/>
          <w:sz w:val="28"/>
          <w:szCs w:val="28"/>
          <w:u w:val="none"/>
          <w:shd w:val="clear" w:fill="FFFFFF"/>
        </w:rPr>
        <w:t>学位点的培养目标是培养具有教育理想、创新意识和实践能力的高素质应用型教师与教育管理者。学位标准强调德智体美劳全面发展，注重师德师风与教育科研、教育实践能力的融合，突出了教育硕士“实践性、专业性、创新性”的培养特征，初步形成了符合地方教育发展需求的研究生培养体系。</w:t>
      </w:r>
    </w:p>
    <w:p w14:paraId="0A39008A">
      <w:pPr>
        <w:pStyle w:val="6"/>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sz w:val="28"/>
          <w:szCs w:val="28"/>
        </w:rPr>
      </w:pPr>
      <w:bookmarkStart w:id="1" w:name="_Toc1867824252"/>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"_Toc128758616"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0"/>
          <w:rFonts w:hint="eastAsia" w:ascii="黑体" w:hAnsi="宋体" w:eastAsia="黑体" w:cs="黑体"/>
          <w:i w:val="0"/>
          <w:caps w:val="0"/>
          <w:color w:val="000000"/>
          <w:spacing w:val="0"/>
          <w:sz w:val="28"/>
          <w:szCs w:val="28"/>
          <w:u w:val="single"/>
          <w:shd w:val="clear" w:fill="FFFFFF"/>
        </w:rPr>
        <w:t>二、学科方向与特色</w:t>
      </w:r>
      <w:r>
        <w:rPr>
          <w:rFonts w:hint="default" w:ascii="仿宋_GB2312" w:eastAsia="仿宋_GB2312" w:cs="仿宋_GB2312"/>
          <w:i w:val="0"/>
          <w:caps w:val="0"/>
          <w:color w:val="000000"/>
          <w:spacing w:val="0"/>
          <w:sz w:val="28"/>
          <w:szCs w:val="28"/>
          <w:u w:val="none"/>
          <w:shd w:val="clear" w:fill="FFFFFF"/>
        </w:rPr>
        <w:fldChar w:fldCharType="end"/>
      </w:r>
      <w:bookmarkEnd w:id="1"/>
    </w:p>
    <w:p w14:paraId="2FA05D59">
      <w:pPr>
        <w:pStyle w:val="6"/>
        <w:keepNext w:val="0"/>
        <w:keepLines w:val="0"/>
        <w:widowControl/>
        <w:suppressLineNumbers w:val="0"/>
        <w:spacing w:before="0" w:beforeAutospacing="0" w:after="150" w:afterAutospacing="0" w:line="450" w:lineRule="atLeast"/>
        <w:ind w:left="556" w:leftChars="0" w:right="0" w:rightChars="0"/>
        <w:outlineLvl w:val="1"/>
        <w:rPr>
          <w:rFonts w:hint="default" w:ascii="仿宋_GB2312" w:eastAsia="仿宋_GB2312" w:cs="仿宋_GB2312"/>
          <w:sz w:val="28"/>
          <w:szCs w:val="28"/>
        </w:rPr>
      </w:pPr>
      <w:bookmarkStart w:id="2" w:name="_Toc606251518"/>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"_Toc128758617"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0"/>
          <w:rFonts w:hint="eastAsia" w:ascii="楷体" w:hAnsi="楷体" w:eastAsia="楷体" w:cs="楷体"/>
          <w:i w:val="0"/>
          <w:caps w:val="0"/>
          <w:color w:val="000000"/>
          <w:spacing w:val="0"/>
          <w:sz w:val="28"/>
          <w:szCs w:val="28"/>
          <w:u w:val="single"/>
          <w:shd w:val="clear" w:fill="FFFFFF"/>
        </w:rPr>
        <w:t>(一) 学科方向</w:t>
      </w:r>
      <w:r>
        <w:rPr>
          <w:rFonts w:hint="default" w:ascii="仿宋_GB2312" w:eastAsia="仿宋_GB2312" w:cs="仿宋_GB2312"/>
          <w:i w:val="0"/>
          <w:caps w:val="0"/>
          <w:color w:val="000000"/>
          <w:spacing w:val="0"/>
          <w:sz w:val="28"/>
          <w:szCs w:val="28"/>
          <w:u w:val="none"/>
          <w:shd w:val="clear" w:fill="FFFFFF"/>
        </w:rPr>
        <w:fldChar w:fldCharType="end"/>
      </w:r>
      <w:bookmarkEnd w:id="2"/>
    </w:p>
    <w:p w14:paraId="3C5B4A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560" w:firstLineChars="200"/>
        <w:textAlignment w:val="auto"/>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教育硕士学位点目前涵盖小学教育、教育管理</w:t>
      </w:r>
      <w:r>
        <w:rPr>
          <w:rFonts w:hint="eastAsia" w:ascii="仿宋_GB2312" w:eastAsia="仿宋_GB2312" w:cs="仿宋_GB2312"/>
          <w:i w:val="0"/>
          <w:caps w:val="0"/>
          <w:color w:val="000000"/>
          <w:spacing w:val="0"/>
          <w:sz w:val="28"/>
          <w:szCs w:val="28"/>
          <w:u w:val="none"/>
          <w:shd w:val="clear" w:fill="FFFFFF"/>
          <w:lang w:val="en-US" w:eastAsia="zh-CN"/>
        </w:rPr>
        <w:t>两</w:t>
      </w:r>
      <w:r>
        <w:rPr>
          <w:rFonts w:hint="default" w:ascii="仿宋_GB2312" w:eastAsia="仿宋_GB2312" w:cs="仿宋_GB2312"/>
          <w:i w:val="0"/>
          <w:caps w:val="0"/>
          <w:color w:val="000000"/>
          <w:spacing w:val="0"/>
          <w:sz w:val="28"/>
          <w:szCs w:val="28"/>
          <w:u w:val="none"/>
          <w:shd w:val="clear" w:fill="FFFFFF"/>
        </w:rPr>
        <w:t>个方向。小学教育方向聚焦课程建设与课堂教学创新，提升教师的课程领导力与课堂实践能力；教育管理方向面向学校治理现代化与教育领导力提升，致力于培</w:t>
      </w:r>
      <w:bookmarkStart w:id="14" w:name="_GoBack"/>
      <w:bookmarkEnd w:id="14"/>
      <w:r>
        <w:rPr>
          <w:rFonts w:hint="default" w:ascii="仿宋_GB2312" w:eastAsia="仿宋_GB2312" w:cs="仿宋_GB2312"/>
          <w:i w:val="0"/>
          <w:caps w:val="0"/>
          <w:color w:val="000000"/>
          <w:spacing w:val="0"/>
          <w:sz w:val="28"/>
          <w:szCs w:val="28"/>
          <w:u w:val="none"/>
          <w:shd w:val="clear" w:fill="FFFFFF"/>
        </w:rPr>
        <w:t>养具备系统决策与组织协调能力的教育管理人才。</w:t>
      </w:r>
    </w:p>
    <w:p w14:paraId="7C018DC5">
      <w:pPr>
        <w:pStyle w:val="6"/>
        <w:keepNext w:val="0"/>
        <w:keepLines w:val="0"/>
        <w:widowControl/>
        <w:suppressLineNumbers w:val="0"/>
        <w:spacing w:before="0" w:beforeAutospacing="0" w:after="150" w:afterAutospacing="0" w:line="450" w:lineRule="atLeast"/>
        <w:ind w:left="556" w:leftChars="0" w:right="0" w:rightChars="0"/>
        <w:outlineLvl w:val="1"/>
        <w:rPr>
          <w:rFonts w:hint="default" w:ascii="仿宋_GB2312" w:eastAsia="仿宋_GB2312" w:cs="仿宋_GB2312"/>
          <w:sz w:val="28"/>
          <w:szCs w:val="28"/>
        </w:rPr>
      </w:pPr>
      <w:bookmarkStart w:id="3" w:name="_Toc1606841658"/>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"_Toc128758618"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0"/>
          <w:rFonts w:hint="eastAsia" w:ascii="楷体" w:hAnsi="楷体" w:eastAsia="楷体" w:cs="楷体"/>
          <w:i w:val="0"/>
          <w:caps w:val="0"/>
          <w:color w:val="000000"/>
          <w:spacing w:val="0"/>
          <w:sz w:val="28"/>
          <w:szCs w:val="28"/>
          <w:u w:val="single"/>
          <w:shd w:val="clear" w:fill="FFFFFF"/>
        </w:rPr>
        <w:t>(二) 学科特色</w:t>
      </w:r>
      <w:r>
        <w:rPr>
          <w:rFonts w:hint="default" w:ascii="仿宋_GB2312" w:eastAsia="仿宋_GB2312" w:cs="仿宋_GB2312"/>
          <w:i w:val="0"/>
          <w:caps w:val="0"/>
          <w:color w:val="000000"/>
          <w:spacing w:val="0"/>
          <w:sz w:val="28"/>
          <w:szCs w:val="28"/>
          <w:u w:val="none"/>
          <w:shd w:val="clear" w:fill="FFFFFF"/>
        </w:rPr>
        <w:fldChar w:fldCharType="end"/>
      </w:r>
      <w:bookmarkEnd w:id="3"/>
    </w:p>
    <w:p w14:paraId="4E0CB164">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始终坚持“服务山区教育振兴、立足教师教育本位”的发展定位，探索形成了“科研引领—课程建设—实践支撑—社会服务”协同推进的建设路径。通过建设“乡村教育研究”“人工智能与乡村教育振兴”“民族传统体育与健康促进”等特色科研团队，构建了以教师教育创新为核心的学科研究方向。学院积极推动“政、校、研”协同育人机制，建立了“丽水学院—地方教育局—附属学校—研究生实践基地”四级联动平台，为教育硕士学位点持续发展奠定了坚实基础。</w:t>
      </w:r>
    </w:p>
    <w:p w14:paraId="751CD4EC">
      <w:pPr>
        <w:pStyle w:val="6"/>
        <w:keepNext w:val="0"/>
        <w:keepLines w:val="0"/>
        <w:widowControl/>
        <w:suppressLineNumbers w:val="0"/>
        <w:spacing w:before="0" w:beforeAutospacing="0" w:after="150" w:afterAutospacing="0" w:line="450" w:lineRule="atLeast"/>
        <w:ind w:left="0" w:leftChars="0" w:right="0" w:rightChars="0"/>
        <w:outlineLvl w:val="0"/>
        <w:rPr>
          <w:rFonts w:hint="eastAsia" w:ascii="仿宋_GB2312" w:eastAsia="仿宋_GB2312" w:cs="仿宋_GB2312"/>
          <w:sz w:val="28"/>
          <w:szCs w:val="28"/>
          <w:lang w:eastAsia="zh-CN"/>
        </w:rPr>
      </w:pPr>
      <w:bookmarkStart w:id="4" w:name="_Toc1580884981"/>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"_Toc128758619"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0"/>
          <w:rFonts w:hint="eastAsia" w:ascii="黑体" w:hAnsi="宋体" w:eastAsia="黑体" w:cs="黑体"/>
          <w:i w:val="0"/>
          <w:caps w:val="0"/>
          <w:color w:val="000000"/>
          <w:spacing w:val="0"/>
          <w:sz w:val="28"/>
          <w:szCs w:val="28"/>
          <w:u w:val="single"/>
          <w:shd w:val="clear" w:fill="FFFFFF"/>
          <w:lang w:val="en-US" w:eastAsia="zh-CN"/>
        </w:rPr>
        <w:t>三</w:t>
      </w:r>
      <w:r>
        <w:rPr>
          <w:rStyle w:val="10"/>
          <w:rFonts w:hint="eastAsia" w:ascii="黑体" w:hAnsi="宋体" w:eastAsia="黑体" w:cs="黑体"/>
          <w:i w:val="0"/>
          <w:caps w:val="0"/>
          <w:color w:val="000000"/>
          <w:spacing w:val="0"/>
          <w:sz w:val="28"/>
          <w:szCs w:val="28"/>
          <w:u w:val="single"/>
          <w:shd w:val="clear" w:fill="FFFFFF"/>
        </w:rPr>
        <w:t>、培养环境与条件</w:t>
      </w:r>
      <w:r>
        <w:rPr>
          <w:rFonts w:hint="default" w:ascii="仿宋_GB2312" w:eastAsia="仿宋_GB2312" w:cs="仿宋_GB2312"/>
          <w:i w:val="0"/>
          <w:caps w:val="0"/>
          <w:color w:val="000000"/>
          <w:spacing w:val="0"/>
          <w:sz w:val="28"/>
          <w:szCs w:val="28"/>
          <w:u w:val="none"/>
          <w:shd w:val="clear" w:fill="FFFFFF"/>
        </w:rPr>
        <w:fldChar w:fldCharType="end"/>
      </w:r>
      <w:bookmarkEnd w:id="4"/>
    </w:p>
    <w:p w14:paraId="388BEE9E">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5" w:name="_Toc1266194983"/>
      <w:r>
        <w:rPr>
          <w:rFonts w:hint="default" w:ascii="仿宋_GB2312" w:eastAsia="仿宋_GB2312" w:cs="仿宋_GB2312"/>
          <w:i w:val="0"/>
          <w:caps w:val="0"/>
          <w:color w:val="000000"/>
          <w:spacing w:val="0"/>
          <w:sz w:val="28"/>
          <w:szCs w:val="28"/>
          <w:u w:val="none"/>
          <w:shd w:val="clear" w:fill="FFFFFF"/>
        </w:rPr>
        <w:t>（一）研究生培养体系建设</w:t>
      </w:r>
      <w:bookmarkEnd w:id="5"/>
    </w:p>
    <w:p w14:paraId="608C06B3">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2022年，</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系统修订教育硕士研究生培养方案，完善课程体系与质量监测机制。全年两次召开专家论证会，邀请西南大学、宁波大学、绍兴文理学院等高校专家指导审议，进一步优化了课程结构与培养目标的匹配性。</w:t>
      </w:r>
    </w:p>
    <w:p w14:paraId="16093525">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6" w:name="_Toc1523621158"/>
      <w:r>
        <w:rPr>
          <w:rFonts w:hint="default" w:ascii="仿宋_GB2312" w:eastAsia="仿宋_GB2312" w:cs="仿宋_GB2312"/>
          <w:i w:val="0"/>
          <w:caps w:val="0"/>
          <w:color w:val="000000"/>
          <w:spacing w:val="0"/>
          <w:sz w:val="28"/>
          <w:szCs w:val="28"/>
          <w:u w:val="none"/>
          <w:shd w:val="clear" w:fill="FFFFFF"/>
        </w:rPr>
        <w:t>（二）导师队伍建设</w:t>
      </w:r>
      <w:bookmarkEnd w:id="6"/>
    </w:p>
    <w:p w14:paraId="3DB6605D">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严格落实导师准入与考核制度，全年共遴选校内导师五十人、校外实践导师十三人，并制定《教师教育学院联合培养研究生导师管理暂行办法》。同时组织导师参加教育硕士领域专题培训与学术讲座，邀请张斌贤教授、赵东元院士等知名专家作系列报告，强化导师在科研指导与专业引领方面的综合能力。</w:t>
      </w:r>
    </w:p>
    <w:p w14:paraId="15830193">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7" w:name="_Toc905795678"/>
      <w:r>
        <w:rPr>
          <w:rFonts w:hint="default" w:ascii="仿宋_GB2312" w:eastAsia="仿宋_GB2312" w:cs="仿宋_GB2312"/>
          <w:i w:val="0"/>
          <w:caps w:val="0"/>
          <w:color w:val="000000"/>
          <w:spacing w:val="0"/>
          <w:sz w:val="28"/>
          <w:szCs w:val="28"/>
          <w:u w:val="none"/>
          <w:shd w:val="clear" w:fill="FFFFFF"/>
        </w:rPr>
        <w:t>（三）招生与培养管理</w:t>
      </w:r>
      <w:bookmarkEnd w:id="7"/>
    </w:p>
    <w:p w14:paraId="128D52E3">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完善招生组织体系，成立招生工作与命题评卷小组，建立研究生招生考试科目参考书目与试题库，规范命题与评审流程。同步优化招生宣传与信息发布渠道，确保考生及时获取权威信息。</w:t>
      </w:r>
    </w:p>
    <w:p w14:paraId="7A60E93C">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8" w:name="_Toc196386563"/>
      <w:r>
        <w:rPr>
          <w:rFonts w:hint="default" w:ascii="仿宋_GB2312" w:eastAsia="仿宋_GB2312" w:cs="仿宋_GB2312"/>
          <w:i w:val="0"/>
          <w:caps w:val="0"/>
          <w:color w:val="000000"/>
          <w:spacing w:val="0"/>
          <w:sz w:val="28"/>
          <w:szCs w:val="28"/>
          <w:u w:val="none"/>
          <w:shd w:val="clear" w:fill="FFFFFF"/>
        </w:rPr>
        <w:t>（四）实践基地与教学平台建设</w:t>
      </w:r>
      <w:bookmarkEnd w:id="8"/>
    </w:p>
    <w:p w14:paraId="39A38C49">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积极拓展高质量实践基地，申报浙江省研究生联合培养基地1个，目前已挂牌研究生实践基地9个，并储备本科实践基地33个。与丽水市、莲都区、龙泉市、松阳县等地教育局共建附属实验学校，在课程改革、师资培养和科研协作等方面开展深度合作，形成了“实践—研究—反思—改进”的培养闭环。</w:t>
      </w:r>
    </w:p>
    <w:p w14:paraId="37C04BB9">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9" w:name="_Toc2134082549"/>
      <w:r>
        <w:rPr>
          <w:rFonts w:hint="default" w:ascii="仿宋_GB2312" w:eastAsia="仿宋_GB2312" w:cs="仿宋_GB2312"/>
          <w:i w:val="0"/>
          <w:caps w:val="0"/>
          <w:color w:val="000000"/>
          <w:spacing w:val="0"/>
          <w:sz w:val="28"/>
          <w:szCs w:val="28"/>
          <w:u w:val="none"/>
          <w:shd w:val="clear" w:fill="FFFFFF"/>
        </w:rPr>
        <w:t>（五）学术活动与科研支撑</w:t>
      </w:r>
      <w:bookmarkEnd w:id="9"/>
    </w:p>
    <w:p w14:paraId="3B43E0F0">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持续建设“乡村教育研究·行知讲坛”等学术品牌平台，全年举办学术讲座33场，其中校外专家21场、校内教师12场。通过出台《教师教育学院教科研业绩考核管理办法》，完善科研激励机制，推动科研成果质量稳步提升。本年度共发表论文39篇（其中核心与C刊11篇），出版专著7部，授权发明专利8项，获科研奖励6项，政策采纳1项。</w:t>
      </w:r>
    </w:p>
    <w:p w14:paraId="1F274898">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default" w:ascii="仿宋_GB2312" w:eastAsia="仿宋_GB2312" w:cs="仿宋_GB2312"/>
          <w:i w:val="0"/>
          <w:caps w:val="0"/>
          <w:color w:val="000000"/>
          <w:spacing w:val="0"/>
          <w:sz w:val="28"/>
          <w:szCs w:val="28"/>
          <w:u w:val="none"/>
          <w:shd w:val="clear" w:fill="FFFFFF"/>
        </w:rPr>
      </w:pPr>
      <w:bookmarkStart w:id="10" w:name="_Toc253528849"/>
      <w:r>
        <w:rPr>
          <w:rFonts w:hint="default" w:ascii="仿宋_GB2312" w:eastAsia="仿宋_GB2312" w:cs="仿宋_GB2312"/>
          <w:i w:val="0"/>
          <w:caps w:val="0"/>
          <w:color w:val="000000"/>
          <w:spacing w:val="0"/>
          <w:sz w:val="28"/>
          <w:szCs w:val="28"/>
          <w:u w:val="none"/>
          <w:shd w:val="clear" w:fill="FFFFFF"/>
        </w:rPr>
        <w:t>（六）学生培养与学风建设</w:t>
      </w:r>
      <w:bookmarkEnd w:id="10"/>
    </w:p>
    <w:p w14:paraId="1A903AFC">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严格落实导师指导责任制，强化研究生思想政治教育与学术道德规范教育。建立奖助体系与学业帮扶机制，完善学习与生活服务体系，持续营造良好的学术氛围与育人环境，确保研究生培养质量稳步提升。</w:t>
      </w:r>
    </w:p>
    <w:p w14:paraId="5EB6752F">
      <w:pPr>
        <w:pStyle w:val="6"/>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sz w:val="28"/>
          <w:szCs w:val="28"/>
        </w:rPr>
      </w:pPr>
      <w:bookmarkStart w:id="11" w:name="_Toc451809495"/>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"_Toc128758620"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0"/>
          <w:rFonts w:hint="eastAsia" w:ascii="黑体" w:hAnsi="宋体" w:eastAsia="黑体" w:cs="黑体"/>
          <w:i w:val="0"/>
          <w:caps w:val="0"/>
          <w:color w:val="000000"/>
          <w:spacing w:val="0"/>
          <w:sz w:val="28"/>
          <w:szCs w:val="28"/>
          <w:u w:val="single"/>
          <w:shd w:val="clear" w:fill="FFFFFF"/>
          <w:lang w:val="en-US" w:eastAsia="zh-CN"/>
        </w:rPr>
        <w:t>四</w:t>
      </w:r>
      <w:r>
        <w:rPr>
          <w:rStyle w:val="10"/>
          <w:rFonts w:hint="eastAsia" w:ascii="黑体" w:hAnsi="宋体" w:eastAsia="黑体" w:cs="黑体"/>
          <w:i w:val="0"/>
          <w:caps w:val="0"/>
          <w:color w:val="000000"/>
          <w:spacing w:val="0"/>
          <w:sz w:val="28"/>
          <w:szCs w:val="28"/>
          <w:u w:val="single"/>
          <w:shd w:val="clear" w:fill="FFFFFF"/>
        </w:rPr>
        <w:t>、社会服务与社会影响力</w:t>
      </w:r>
      <w:r>
        <w:rPr>
          <w:rFonts w:hint="default" w:ascii="仿宋_GB2312" w:eastAsia="仿宋_GB2312" w:cs="仿宋_GB2312"/>
          <w:i w:val="0"/>
          <w:caps w:val="0"/>
          <w:color w:val="000000"/>
          <w:spacing w:val="0"/>
          <w:sz w:val="28"/>
          <w:szCs w:val="28"/>
          <w:u w:val="none"/>
          <w:shd w:val="clear" w:fill="FFFFFF"/>
        </w:rPr>
        <w:fldChar w:fldCharType="end"/>
      </w:r>
      <w:bookmarkEnd w:id="11"/>
    </w:p>
    <w:p w14:paraId="1F8073A1">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bookmarkStart w:id="12" w:name="_Toc86436762"/>
      <w:r>
        <w:rPr>
          <w:rFonts w:hint="default" w:ascii="仿宋_GB2312" w:eastAsia="仿宋_GB2312" w:cs="仿宋_GB2312"/>
          <w:i w:val="0"/>
          <w:caps w:val="0"/>
          <w:color w:val="000000"/>
          <w:spacing w:val="0"/>
          <w:sz w:val="28"/>
          <w:szCs w:val="28"/>
          <w:u w:val="none"/>
          <w:shd w:val="clear" w:fill="FFFFFF"/>
        </w:rPr>
        <w:t>（一）附属学校共建与教育硕士实践融合</w:t>
      </w:r>
    </w:p>
    <w:p w14:paraId="70924BBC">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2022年，教育硕士学位点以强化实践育人为导向，积极拓展校地合作，与龙泉市、莲都区、松阳县等地教育局签订附属学校共建协议，推动研究生教育实践与基础教育深度融合。丽水学院附属碧湖实验中学、附属城北小学正式挂牌运行，人民路小学、松阳水南小学、文教实验幼儿园等项目进入筹建阶段。教育硕士研究生在导师指导下，定期赴附属学校开展课堂观察、教学设计、课程开发与教育调研等活动，参与学校教学改革与教师培训工作，促进研究生成长为具有实践创新能力的高素质教育人才。</w:t>
      </w:r>
    </w:p>
    <w:p w14:paraId="70897E96">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（二）教育服务与研究生社会实践并进</w:t>
      </w:r>
    </w:p>
    <w:p w14:paraId="67FAD313">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学位点充分发挥教育硕士的专业辐射功能，积极组织研究生参与区域教育研究与社会服务项目，形成“研究—实践—服务”一体化机制。研究生团队多次参与“山区26县教育高质量发展论坛”“百名博士助百企”等省市级项目，在教育政策研究、教学质量分析与课程改革指导等方面提供智力支持。通过“丽水市教育局—丽水学院”共建框架，研究生参与教师培训方案设计与实施，部分成果在中小学推广应用，进一步体现了教育硕士在服务地方基础教育与促进区域教育创新发展中的积极作用。</w:t>
      </w:r>
    </w:p>
    <w:p w14:paraId="5F9B3935">
      <w:pPr>
        <w:pStyle w:val="6"/>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eastAsia" w:ascii="仿宋_GB2312" w:eastAsia="仿宋_GB2312" w:cs="仿宋_GB2312"/>
          <w:sz w:val="28"/>
          <w:szCs w:val="28"/>
          <w:lang w:eastAsia="zh-CN"/>
        </w:rPr>
      </w:pPr>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"_Toc128758622"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0"/>
          <w:rFonts w:hint="eastAsia" w:ascii="黑体" w:hAnsi="宋体" w:eastAsia="黑体" w:cs="黑体"/>
          <w:i w:val="0"/>
          <w:caps w:val="0"/>
          <w:color w:val="000000"/>
          <w:spacing w:val="0"/>
          <w:sz w:val="28"/>
          <w:szCs w:val="28"/>
          <w:u w:val="single"/>
          <w:shd w:val="clear" w:fill="FFFFFF"/>
          <w:lang w:val="en-US" w:eastAsia="zh-CN"/>
        </w:rPr>
        <w:t>五</w:t>
      </w:r>
      <w:r>
        <w:rPr>
          <w:rStyle w:val="10"/>
          <w:rFonts w:hint="eastAsia" w:ascii="黑体" w:hAnsi="宋体" w:eastAsia="黑体" w:cs="黑体"/>
          <w:i w:val="0"/>
          <w:caps w:val="0"/>
          <w:color w:val="000000"/>
          <w:spacing w:val="0"/>
          <w:sz w:val="28"/>
          <w:szCs w:val="28"/>
          <w:u w:val="single"/>
          <w:shd w:val="clear" w:fill="FFFFFF"/>
        </w:rPr>
        <w:t>、</w:t>
      </w:r>
      <w:r>
        <w:rPr>
          <w:rStyle w:val="10"/>
          <w:rFonts w:hint="eastAsia" w:ascii="黑体" w:hAnsi="宋体" w:eastAsia="黑体" w:cs="黑体"/>
          <w:i w:val="0"/>
          <w:caps w:val="0"/>
          <w:color w:val="000000"/>
          <w:spacing w:val="0"/>
          <w:sz w:val="28"/>
          <w:szCs w:val="28"/>
          <w:u w:val="single"/>
          <w:shd w:val="clear" w:fill="FFFFFF"/>
          <w:lang w:val="en-US" w:eastAsia="zh-CN"/>
        </w:rPr>
        <w:t>其他</w:t>
      </w:r>
      <w:r>
        <w:rPr>
          <w:rFonts w:hint="default" w:ascii="仿宋_GB2312" w:eastAsia="仿宋_GB2312" w:cs="仿宋_GB2312"/>
          <w:i w:val="0"/>
          <w:caps w:val="0"/>
          <w:color w:val="000000"/>
          <w:spacing w:val="0"/>
          <w:sz w:val="28"/>
          <w:szCs w:val="28"/>
          <w:u w:val="none"/>
          <w:shd w:val="clear" w:fill="FFFFFF"/>
        </w:rPr>
        <w:fldChar w:fldCharType="end"/>
      </w:r>
      <w:bookmarkEnd w:id="12"/>
    </w:p>
    <w:p w14:paraId="4DEF58AE">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始终把师德师风和学术规范建设放在首位，组织导师学习教育硕士指导委员会下发的政策文件与研修材料，强化科研诚信意识和职业责任感。全年共引进人才4人（其中博士3人、硕士1人），柔性引进校外专家2人，优化了学科梯队结构。</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进一步完善教育学一流学科（B类）申报书，邀请国内知名专家进行指导论证，推进学科高质量发展。</w:t>
      </w:r>
    </w:p>
    <w:p w14:paraId="21E71D6C">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在科研与学术交流方面，</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rPr>
        <w:t>新建基础教育研究院、课程与教学研究所、民族体育研究所和人工智能与乡村教育振兴科研团队等多个平台，卓么措团队获“1355科研培育团队”立项。全年组织学术交流活动10余次，邀请郝志军、罗江华、王永安等专家作报告，教师积极参加全国心理学学术会议和浙江省心理学年会，学科影响力进一步扩大。</w:t>
      </w:r>
    </w:p>
    <w:p w14:paraId="17666499">
      <w:pPr>
        <w:pStyle w:val="6"/>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sz w:val="28"/>
          <w:szCs w:val="28"/>
        </w:rPr>
      </w:pPr>
      <w:bookmarkStart w:id="13" w:name="_Toc1043713562"/>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"_Toc128758631"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0"/>
          <w:rFonts w:hint="eastAsia" w:ascii="黑体" w:hAnsi="宋体" w:eastAsia="黑体" w:cs="黑体"/>
          <w:i w:val="0"/>
          <w:caps w:val="0"/>
          <w:color w:val="000000"/>
          <w:spacing w:val="0"/>
          <w:sz w:val="28"/>
          <w:szCs w:val="28"/>
          <w:u w:val="single"/>
          <w:shd w:val="clear" w:fill="FFFFFF"/>
          <w:lang w:val="en-US" w:eastAsia="zh-CN"/>
        </w:rPr>
        <w:t>六</w:t>
      </w:r>
      <w:r>
        <w:rPr>
          <w:rStyle w:val="10"/>
          <w:rFonts w:hint="eastAsia" w:ascii="黑体" w:hAnsi="宋体" w:eastAsia="黑体" w:cs="黑体"/>
          <w:i w:val="0"/>
          <w:caps w:val="0"/>
          <w:color w:val="000000"/>
          <w:spacing w:val="0"/>
          <w:sz w:val="28"/>
          <w:szCs w:val="28"/>
          <w:u w:val="single"/>
          <w:shd w:val="clear" w:fill="FFFFFF"/>
        </w:rPr>
        <w:t>、存在的问题及改进措施</w:t>
      </w:r>
      <w:r>
        <w:rPr>
          <w:rFonts w:hint="default" w:ascii="仿宋_GB2312" w:eastAsia="仿宋_GB2312" w:cs="仿宋_GB2312"/>
          <w:i w:val="0"/>
          <w:caps w:val="0"/>
          <w:color w:val="000000"/>
          <w:spacing w:val="0"/>
          <w:sz w:val="28"/>
          <w:szCs w:val="28"/>
          <w:u w:val="none"/>
          <w:shd w:val="clear" w:fill="FFFFFF"/>
        </w:rPr>
        <w:fldChar w:fldCharType="end"/>
      </w:r>
      <w:bookmarkEnd w:id="13"/>
    </w:p>
    <w:p w14:paraId="35C08EFE">
      <w:pPr>
        <w:pStyle w:val="6"/>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lang w:val="en-US" w:eastAsia="zh-CN"/>
        </w:rPr>
      </w:pPr>
      <w:r>
        <w:rPr>
          <w:rFonts w:hint="default" w:ascii="仿宋_GB2312" w:eastAsia="仿宋_GB2312" w:cs="仿宋_GB2312"/>
          <w:i w:val="0"/>
          <w:caps w:val="0"/>
          <w:color w:val="000000"/>
          <w:spacing w:val="0"/>
          <w:sz w:val="28"/>
          <w:szCs w:val="28"/>
          <w:u w:val="none"/>
          <w:shd w:val="clear" w:fill="FFFFFF"/>
          <w:lang w:val="en-US" w:eastAsia="zh-CN"/>
        </w:rPr>
        <w:t>总体来看，2022年教育硕士学位点建设进展良好，但仍存在若干制约因素。主要问题包括：高水平科研成果数量不足，国家级与省部级项目立项率有待提高；导师科研结构不均衡，青年教师科研能力需进一步提升；部分附属学校项目推进速度受地方财政与流程影响较慢；学位点数据支撑与评估体系尚未完全建立。</w:t>
      </w:r>
    </w:p>
    <w:p w14:paraId="099BFD3A">
      <w:pPr>
        <w:pStyle w:val="6"/>
        <w:keepNext w:val="0"/>
        <w:keepLines w:val="0"/>
        <w:widowControl/>
        <w:suppressLineNumbers w:val="0"/>
        <w:spacing w:before="0" w:beforeAutospacing="0" w:after="150" w:afterAutospacing="0" w:line="450" w:lineRule="atLeast"/>
        <w:ind w:left="0" w:right="0" w:firstLine="560" w:firstLineChars="200"/>
        <w:rPr>
          <w:rFonts w:hint="default" w:ascii="Times New Roman" w:hAnsi="Times New Roman" w:eastAsia="仿宋_GB2312" w:cs="Times New Roman"/>
          <w:sz w:val="32"/>
          <w:szCs w:val="32"/>
          <w:lang w:val="en-US" w:eastAsia="zh-CN"/>
        </w:rPr>
      </w:pPr>
      <w:r>
        <w:rPr>
          <w:rFonts w:hint="default" w:ascii="仿宋_GB2312" w:eastAsia="仿宋_GB2312" w:cs="仿宋_GB2312"/>
          <w:i w:val="0"/>
          <w:caps w:val="0"/>
          <w:color w:val="000000"/>
          <w:spacing w:val="0"/>
          <w:sz w:val="28"/>
          <w:szCs w:val="28"/>
          <w:u w:val="none"/>
          <w:shd w:val="clear" w:fill="FFFFFF"/>
          <w:lang w:val="en-US" w:eastAsia="zh-CN"/>
        </w:rPr>
        <w:t>针对上述问题，</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lang w:val="en-US" w:eastAsia="zh-CN"/>
        </w:rPr>
        <w:t>将从五个方面改进：一是制定《教育硕士学位点建设三年行动计划（2023—2025）》，明确阶段目标与建设任务；二是加大高层次科研项目培育力度，形成纵向项目梯队；三是完善导师考核激励机制，强化青年导师科研帮扶；四是推进研究生实践基地与附属学校深度合作，完善成果转化与示范推广机制；五是建立基于数据的质量监测与反馈体系，确保学位点建设的系统性、持续性与高质量发展。</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ZjJhMTJlMDgwNDliMGNkMjY0MGYyM2U3MTRhZjgifQ=="/>
  </w:docVars>
  <w:rsids>
    <w:rsidRoot w:val="5E14445E"/>
    <w:rsid w:val="002A67FE"/>
    <w:rsid w:val="00426925"/>
    <w:rsid w:val="007D2F61"/>
    <w:rsid w:val="01DB3E94"/>
    <w:rsid w:val="04B160F3"/>
    <w:rsid w:val="056D1C55"/>
    <w:rsid w:val="05DD075A"/>
    <w:rsid w:val="068F23E2"/>
    <w:rsid w:val="08976781"/>
    <w:rsid w:val="08B15F6D"/>
    <w:rsid w:val="08F11F99"/>
    <w:rsid w:val="091211C1"/>
    <w:rsid w:val="0A096EF9"/>
    <w:rsid w:val="0A2A3166"/>
    <w:rsid w:val="0A4524F8"/>
    <w:rsid w:val="0C2E0B1C"/>
    <w:rsid w:val="0E427D8A"/>
    <w:rsid w:val="0F061E17"/>
    <w:rsid w:val="0F24713D"/>
    <w:rsid w:val="10434EF0"/>
    <w:rsid w:val="10D12039"/>
    <w:rsid w:val="11F42021"/>
    <w:rsid w:val="12722953"/>
    <w:rsid w:val="13B4503E"/>
    <w:rsid w:val="19DE146E"/>
    <w:rsid w:val="1A3B72CC"/>
    <w:rsid w:val="1AEB59CF"/>
    <w:rsid w:val="1BAF7A3A"/>
    <w:rsid w:val="1BB11834"/>
    <w:rsid w:val="1C2A07F3"/>
    <w:rsid w:val="1D040D5F"/>
    <w:rsid w:val="1D177ACC"/>
    <w:rsid w:val="1D1C6056"/>
    <w:rsid w:val="1E5F6569"/>
    <w:rsid w:val="1E940284"/>
    <w:rsid w:val="1E9729CF"/>
    <w:rsid w:val="1ED45EE9"/>
    <w:rsid w:val="1ED55D37"/>
    <w:rsid w:val="1F643AE6"/>
    <w:rsid w:val="1F975ADA"/>
    <w:rsid w:val="207656D6"/>
    <w:rsid w:val="2130241E"/>
    <w:rsid w:val="22C04ACA"/>
    <w:rsid w:val="23017D95"/>
    <w:rsid w:val="233E3236"/>
    <w:rsid w:val="237229D4"/>
    <w:rsid w:val="23735C70"/>
    <w:rsid w:val="23D0067C"/>
    <w:rsid w:val="24D23725"/>
    <w:rsid w:val="2586435F"/>
    <w:rsid w:val="25D27DB4"/>
    <w:rsid w:val="25D533B1"/>
    <w:rsid w:val="26A41B60"/>
    <w:rsid w:val="2B54144F"/>
    <w:rsid w:val="2C4B3ABC"/>
    <w:rsid w:val="2DA40F9F"/>
    <w:rsid w:val="2E182EA6"/>
    <w:rsid w:val="2E1D0B45"/>
    <w:rsid w:val="2EAD1BF9"/>
    <w:rsid w:val="2F200897"/>
    <w:rsid w:val="2F4268C2"/>
    <w:rsid w:val="303A0240"/>
    <w:rsid w:val="30752B6A"/>
    <w:rsid w:val="30D973A2"/>
    <w:rsid w:val="30F2510A"/>
    <w:rsid w:val="3317346C"/>
    <w:rsid w:val="352C5F8A"/>
    <w:rsid w:val="357766A5"/>
    <w:rsid w:val="3723677D"/>
    <w:rsid w:val="3784152B"/>
    <w:rsid w:val="37FFA7D7"/>
    <w:rsid w:val="38683B3E"/>
    <w:rsid w:val="3A0D5B11"/>
    <w:rsid w:val="3D3228BE"/>
    <w:rsid w:val="3DEA709B"/>
    <w:rsid w:val="3EAF0156"/>
    <w:rsid w:val="3EBD6708"/>
    <w:rsid w:val="3F7126A4"/>
    <w:rsid w:val="3FF85661"/>
    <w:rsid w:val="40FE39CB"/>
    <w:rsid w:val="41086038"/>
    <w:rsid w:val="41143D27"/>
    <w:rsid w:val="415B40CF"/>
    <w:rsid w:val="41DA099B"/>
    <w:rsid w:val="424806DA"/>
    <w:rsid w:val="43794B89"/>
    <w:rsid w:val="43AD59C0"/>
    <w:rsid w:val="480C13EF"/>
    <w:rsid w:val="48BF54BD"/>
    <w:rsid w:val="48DA38F8"/>
    <w:rsid w:val="49AE2713"/>
    <w:rsid w:val="49D61AE7"/>
    <w:rsid w:val="49EC19EA"/>
    <w:rsid w:val="4A37224D"/>
    <w:rsid w:val="4D324EF4"/>
    <w:rsid w:val="4D8A27A8"/>
    <w:rsid w:val="4E2D5273"/>
    <w:rsid w:val="4F56115D"/>
    <w:rsid w:val="52D61FB4"/>
    <w:rsid w:val="52E5303B"/>
    <w:rsid w:val="537C5819"/>
    <w:rsid w:val="57A61E89"/>
    <w:rsid w:val="5BE26E9F"/>
    <w:rsid w:val="5CE36F0E"/>
    <w:rsid w:val="5CF82FE1"/>
    <w:rsid w:val="5D81695E"/>
    <w:rsid w:val="5E14445E"/>
    <w:rsid w:val="5E7423B8"/>
    <w:rsid w:val="642D3D4C"/>
    <w:rsid w:val="646E5745"/>
    <w:rsid w:val="65504C64"/>
    <w:rsid w:val="65851B00"/>
    <w:rsid w:val="68733F92"/>
    <w:rsid w:val="68D75A1D"/>
    <w:rsid w:val="695D5D4B"/>
    <w:rsid w:val="6A355F06"/>
    <w:rsid w:val="6A5929DA"/>
    <w:rsid w:val="6A6857D5"/>
    <w:rsid w:val="6ABF13BA"/>
    <w:rsid w:val="6B4D705F"/>
    <w:rsid w:val="6C6B706C"/>
    <w:rsid w:val="6DE270BC"/>
    <w:rsid w:val="6F151195"/>
    <w:rsid w:val="702A5E4C"/>
    <w:rsid w:val="70C02A1C"/>
    <w:rsid w:val="71353D18"/>
    <w:rsid w:val="717551BE"/>
    <w:rsid w:val="72BA32EE"/>
    <w:rsid w:val="74AB4828"/>
    <w:rsid w:val="76110E56"/>
    <w:rsid w:val="762A1BB9"/>
    <w:rsid w:val="782E7BC4"/>
    <w:rsid w:val="7ABC65E8"/>
    <w:rsid w:val="7BCE5AC9"/>
    <w:rsid w:val="7C825E51"/>
    <w:rsid w:val="7D226F79"/>
    <w:rsid w:val="7E0328FB"/>
    <w:rsid w:val="7FD75D72"/>
    <w:rsid w:val="7FFC8573"/>
    <w:rsid w:val="7FFD5E5A"/>
    <w:rsid w:val="B7A15F9E"/>
    <w:rsid w:val="BFEFA4B5"/>
    <w:rsid w:val="E5FBE200"/>
    <w:rsid w:val="E6EBA7D4"/>
    <w:rsid w:val="F6F5C073"/>
    <w:rsid w:val="FAFFEB82"/>
    <w:rsid w:val="FBE76147"/>
    <w:rsid w:val="FBFCCD0C"/>
    <w:rsid w:val="FDEBB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uiPriority w:val="0"/>
  </w:style>
  <w:style w:type="paragraph" w:styleId="5">
    <w:name w:val="toc 2"/>
    <w:basedOn w:val="1"/>
    <w:next w:val="1"/>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316</Words>
  <Characters>324</Characters>
  <Lines>0</Lines>
  <Paragraphs>0</Paragraphs>
  <TotalTime>17</TotalTime>
  <ScaleCrop>false</ScaleCrop>
  <LinksUpToDate>false</LinksUpToDate>
  <CharactersWithSpaces>326</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2025-09-16T11:35:00Z</dcterms:created>
  <dc:creator>江申</dc:creator>
  <cp:lastModifiedBy>李银蝶</cp:lastModifiedBy>
  <dcterms:modified xsi:type="dcterms:W3CDTF">2025-11-04T14:55:09Z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03E9E13B67EC2A78D3C30269DDD98740_43</vt:lpwstr>
  </property>
</Properties>
</file>